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tabs>
          <w:tab w:val="right" w:leader="none" w:pos="9639"/>
        </w:tabs>
        <w:ind w:left="-284" w:firstLine="0"/>
        <w:rPr>
          <w:rFonts w:ascii="Calibri" w:cs="Calibri" w:eastAsia="Calibri" w:hAnsi="Calibri"/>
          <w:b w:val="1"/>
          <w:i w:val="1"/>
          <w:sz w:val="22"/>
          <w:szCs w:val="22"/>
        </w:rPr>
      </w:pPr>
      <w:r w:rsidDel="00000000" w:rsidR="00000000" w:rsidRPr="00000000">
        <w:rPr>
          <w:rFonts w:ascii="Calibri" w:cs="Calibri" w:eastAsia="Calibri" w:hAnsi="Calibri"/>
          <w:b w:val="1"/>
          <w:i w:val="1"/>
          <w:sz w:val="22"/>
          <w:szCs w:val="22"/>
        </w:rPr>
        <w:drawing>
          <wp:inline distB="0" distT="0" distL="0" distR="0">
            <wp:extent cx="935121" cy="936000"/>
            <wp:effectExtent b="0" l="0" r="0" t="0"/>
            <wp:docPr descr="Aion_Logo_purple_PMS (4).jpg" id="234851594" name="image1.jpg"/>
            <a:graphic>
              <a:graphicData uri="http://schemas.openxmlformats.org/drawingml/2006/picture">
                <pic:pic>
                  <pic:nvPicPr>
                    <pic:cNvPr descr="Aion_Logo_purple_PMS (4).jpg" id="0" name="image1.jpg"/>
                    <pic:cNvPicPr preferRelativeResize="0"/>
                  </pic:nvPicPr>
                  <pic:blipFill>
                    <a:blip r:embed="rId8"/>
                    <a:srcRect b="0" l="0" r="0" t="0"/>
                    <a:stretch>
                      <a:fillRect/>
                    </a:stretch>
                  </pic:blipFill>
                  <pic:spPr>
                    <a:xfrm>
                      <a:off x="0" y="0"/>
                      <a:ext cx="935121" cy="936000"/>
                    </a:xfrm>
                    <a:prstGeom prst="rect"/>
                    <a:ln/>
                  </pic:spPr>
                </pic:pic>
              </a:graphicData>
            </a:graphic>
          </wp:inline>
        </w:drawing>
      </w:r>
      <w:r w:rsidDel="00000000" w:rsidR="00000000" w:rsidRPr="00000000">
        <w:rPr>
          <w:rFonts w:ascii="Calibri" w:cs="Calibri" w:eastAsia="Calibri" w:hAnsi="Calibri"/>
          <w:b w:val="1"/>
          <w:i w:val="1"/>
          <w:sz w:val="22"/>
          <w:szCs w:val="22"/>
          <w:rtl w:val="0"/>
        </w:rPr>
        <w:tab/>
        <w:t xml:space="preserve">20.07.2023</w:t>
      </w:r>
    </w:p>
    <w:tbl>
      <w:tblPr>
        <w:tblStyle w:val="Table1"/>
        <w:tblW w:w="10207.0" w:type="dxa"/>
        <w:jc w:val="left"/>
        <w:tblInd w:w="-291.0" w:type="dxa"/>
        <w:tblLayout w:type="fixed"/>
        <w:tblLook w:val="0400"/>
      </w:tblPr>
      <w:tblGrid>
        <w:gridCol w:w="5104"/>
        <w:gridCol w:w="5103"/>
        <w:tblGridChange w:id="0">
          <w:tblGrid>
            <w:gridCol w:w="5104"/>
            <w:gridCol w:w="5103"/>
          </w:tblGrid>
        </w:tblGridChange>
      </w:tblGrid>
      <w:tr>
        <w:trPr>
          <w:cantSplit w:val="0"/>
          <w:tblHeader w:val="0"/>
        </w:trPr>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sz w:val="28"/>
                <w:szCs w:val="28"/>
                <w:rtl w:val="0"/>
              </w:rPr>
              <w:t xml:space="preserve">Max Deposit </w:t>
            </w: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Extended</w:t>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141414"/>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commercialisé par AION BANK SA</w:t>
            </w:r>
            <w:r w:rsidDel="00000000" w:rsidR="00000000" w:rsidRPr="00000000">
              <w:rPr>
                <w:rtl w:val="0"/>
              </w:rPr>
            </w:r>
          </w:p>
        </w:tc>
      </w:tr>
      <w:tr>
        <w:trPr>
          <w:cantSplit w:val="0"/>
          <w:tblHeader w:val="0"/>
        </w:trPr>
        <w:tc>
          <w:tcPr>
            <w:gridSpan w:val="2"/>
            <w:tcBorders>
              <w:top w:color="000000" w:space="0" w:sz="4" w:val="single"/>
              <w:left w:color="000000" w:space="0" w:sz="4" w:val="single"/>
              <w:bottom w:color="000000" w:space="0" w:sz="4" w:val="single"/>
              <w:right w:color="000000" w:space="0" w:sz="4" w:val="single"/>
            </w:tcBorders>
            <w:shd w:fill="321464" w:val="clear"/>
          </w:tcPr>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ffffff"/>
                <w:sz w:val="36"/>
                <w:szCs w:val="36"/>
                <w:u w:val="none"/>
                <w:shd w:fill="auto" w:val="clear"/>
                <w:vertAlign w:val="baseline"/>
              </w:rPr>
            </w:pPr>
            <w:r w:rsidDel="00000000" w:rsidR="00000000" w:rsidRPr="00000000">
              <w:rPr>
                <w:rFonts w:ascii="Calibri" w:cs="Calibri" w:eastAsia="Calibri" w:hAnsi="Calibri"/>
                <w:b w:val="0"/>
                <w:i w:val="0"/>
                <w:smallCaps w:val="0"/>
                <w:strike w:val="0"/>
                <w:color w:val="ffffff"/>
                <w:sz w:val="36"/>
                <w:szCs w:val="36"/>
                <w:u w:val="none"/>
                <w:shd w:fill="auto" w:val="clear"/>
                <w:vertAlign w:val="baseline"/>
                <w:rtl w:val="0"/>
              </w:rPr>
              <w:t xml:space="preserve">Informations clés pour l‘épargnant</w:t>
            </w:r>
          </w:p>
        </w:tc>
      </w:tr>
      <w:tr>
        <w:trPr>
          <w:cantSplit w:val="0"/>
          <w:tblHeader w:val="0"/>
        </w:trPr>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70c0"/>
                <w:sz w:val="22"/>
                <w:szCs w:val="22"/>
                <w:u w:val="none"/>
                <w:shd w:fill="auto" w:val="clear"/>
                <w:vertAlign w:val="baseline"/>
              </w:rPr>
            </w:pPr>
            <w:r w:rsidDel="00000000" w:rsidR="00000000" w:rsidRPr="00000000">
              <w:rPr>
                <w:rFonts w:ascii="Calibri" w:cs="Calibri" w:eastAsia="Calibri" w:hAnsi="Calibri"/>
                <w:sz w:val="22"/>
                <w:szCs w:val="22"/>
                <w:rtl w:val="0"/>
              </w:rPr>
              <w:t xml:space="preserve">Max Deposit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Extended est un "compte d'épargne réglementé" ou un "dépôt d'épargne réglementé"</w:t>
            </w:r>
            <w:r w:rsidDel="00000000" w:rsidR="00000000" w:rsidRPr="00000000">
              <w:rPr>
                <w:rFonts w:ascii="Calibri" w:cs="Calibri" w:eastAsia="Calibri" w:hAnsi="Calibri"/>
                <w:b w:val="0"/>
                <w:i w:val="0"/>
                <w:smallCaps w:val="0"/>
                <w:strike w:val="0"/>
                <w:color w:val="000000"/>
                <w:sz w:val="22"/>
                <w:szCs w:val="22"/>
                <w:u w:val="none"/>
                <w:shd w:fill="auto" w:val="clear"/>
                <w:vertAlign w:val="superscript"/>
              </w:rPr>
              <w:footnoteReference w:customMarkFollows="0" w:id="0"/>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On ne paie généralement pas de précompte mobilier ou d’autre impôt sur les intérêts reçus (voir point 4). Cette fiche doit vous être fournie lors de l’ouverture du compte. Lisez-là attentivement avant de déposer de l’argent sur ce compte.</w:t>
            </w:r>
            <w:r w:rsidDel="00000000" w:rsidR="00000000" w:rsidRPr="00000000">
              <w:rPr>
                <w:rtl w:val="0"/>
              </w:rPr>
            </w:r>
          </w:p>
        </w:tc>
      </w:tr>
      <w:tr>
        <w:trPr>
          <w:cantSplit w:val="0"/>
          <w:tblHeader w:val="0"/>
        </w:trPr>
        <w:tc>
          <w:tcPr>
            <w:gridSpan w:val="2"/>
            <w:tcBorders>
              <w:top w:color="000000" w:space="0" w:sz="4" w:val="single"/>
              <w:left w:color="000000" w:space="0" w:sz="4" w:val="single"/>
              <w:bottom w:color="000000" w:space="0" w:sz="4" w:val="single"/>
              <w:right w:color="000000" w:space="0" w:sz="4" w:val="single"/>
            </w:tcBorders>
            <w:shd w:fill="321464" w:val="clear"/>
          </w:tcPr>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ffffff"/>
                <w:sz w:val="22"/>
                <w:szCs w:val="22"/>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1. Conditions</w:t>
            </w:r>
          </w:p>
        </w:tc>
      </w:tr>
      <w:tr>
        <w:trPr>
          <w:cantSplit w:val="0"/>
          <w:tblHeader w:val="0"/>
        </w:trPr>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0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714" w:right="0" w:hanging="357"/>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L’ouverture peut se faire sur le site internet de la banque ou sur mobile banking</w:t>
            </w:r>
          </w:p>
          <w:p w:rsidR="00000000" w:rsidDel="00000000" w:rsidP="00000000" w:rsidRDefault="00000000" w:rsidRPr="00000000" w14:paraId="0000000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714" w:right="0" w:hanging="357"/>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Compte réservé à l’utilisation d’une application mobile banking</w:t>
            </w:r>
          </w:p>
          <w:p w:rsidR="00000000" w:rsidDel="00000000" w:rsidP="00000000" w:rsidRDefault="00000000" w:rsidRPr="00000000" w14:paraId="0000000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714" w:right="0" w:hanging="357"/>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Vous pouvez consulter le solde de votre compte et les opérations effectuées via mobile banking</w:t>
            </w:r>
          </w:p>
          <w:p w:rsidR="00000000" w:rsidDel="00000000" w:rsidP="00000000" w:rsidRDefault="00000000" w:rsidRPr="00000000" w14:paraId="0000000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714" w:right="0" w:hanging="357"/>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Votre compte ne peut pas avoir un solde négatif (vous ne pouvez donc pas être dans le rouge).</w:t>
            </w:r>
          </w:p>
        </w:tc>
      </w:tr>
      <w:tr>
        <w:trPr>
          <w:cantSplit w:val="0"/>
          <w:tblHeader w:val="0"/>
        </w:trPr>
        <w:tc>
          <w:tcPr>
            <w:gridSpan w:val="2"/>
            <w:tcBorders>
              <w:top w:color="000000" w:space="0" w:sz="4" w:val="single"/>
              <w:left w:color="000000" w:space="0" w:sz="4" w:val="single"/>
              <w:bottom w:color="000000" w:space="0" w:sz="4" w:val="single"/>
              <w:right w:color="000000" w:space="0" w:sz="4" w:val="single"/>
            </w:tcBorders>
            <w:shd w:fill="321464" w:val="clear"/>
          </w:tcPr>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ffffff"/>
                <w:sz w:val="22"/>
                <w:szCs w:val="22"/>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2. Rémunération du compte</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141414"/>
                <w:sz w:val="24"/>
                <w:szCs w:val="24"/>
                <w:u w:val="none"/>
                <w:shd w:fill="auto" w:val="clear"/>
                <w:vertAlign w:val="baseline"/>
              </w:rPr>
            </w:pPr>
            <w:r w:rsidDel="00000000" w:rsidR="00000000" w:rsidRPr="00000000">
              <w:rPr>
                <w:rFonts w:ascii="Calibri" w:cs="Calibri" w:eastAsia="Calibri" w:hAnsi="Calibri"/>
                <w:b w:val="0"/>
                <w:i w:val="0"/>
                <w:smallCaps w:val="0"/>
                <w:strike w:val="0"/>
                <w:color w:val="141414"/>
                <w:sz w:val="24"/>
                <w:szCs w:val="24"/>
                <w:u w:val="none"/>
                <w:shd w:fill="auto" w:val="clear"/>
                <w:vertAlign w:val="baseline"/>
                <w:rtl w:val="0"/>
              </w:rPr>
              <w:t xml:space="preserve">Intérêt de base: 0.50% (sur base annuelle)</w:t>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141414"/>
                <w:sz w:val="24"/>
                <w:szCs w:val="24"/>
                <w:u w:val="single"/>
                <w:shd w:fill="auto" w:val="clear"/>
                <w:vertAlign w:val="baseline"/>
              </w:rPr>
            </w:pPr>
            <w:r w:rsidDel="00000000" w:rsidR="00000000" w:rsidRPr="00000000">
              <w:rPr>
                <w:rFonts w:ascii="Calibri" w:cs="Calibri" w:eastAsia="Calibri" w:hAnsi="Calibri"/>
                <w:b w:val="0"/>
                <w:i w:val="0"/>
                <w:smallCaps w:val="0"/>
                <w:strike w:val="0"/>
                <w:color w:val="141414"/>
                <w:sz w:val="24"/>
                <w:szCs w:val="24"/>
                <w:u w:val="none"/>
                <w:shd w:fill="auto" w:val="clear"/>
                <w:vertAlign w:val="baseline"/>
                <w:rtl w:val="0"/>
              </w:rPr>
              <w:t xml:space="preserve">Prime de fidélité: 1.50% (sur base annuelle)</w:t>
            </w:r>
            <w:r w:rsidDel="00000000" w:rsidR="00000000" w:rsidRPr="00000000">
              <w:rPr>
                <w:rtl w:val="0"/>
              </w:rPr>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1"/>
                <w:i w:val="0"/>
                <w:smallCaps w:val="0"/>
                <w:strike w:val="0"/>
                <w:color w:val="141414"/>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141414"/>
                <w:sz w:val="22"/>
                <w:szCs w:val="22"/>
                <w:u w:val="none"/>
                <w:shd w:fill="auto" w:val="clear"/>
                <w:vertAlign w:val="baseline"/>
              </w:rPr>
            </w:pPr>
            <w:r w:rsidDel="00000000" w:rsidR="00000000" w:rsidRPr="00000000">
              <w:rPr>
                <w:rFonts w:ascii="Calibri" w:cs="Calibri" w:eastAsia="Calibri" w:hAnsi="Calibri"/>
                <w:b w:val="1"/>
                <w:i w:val="0"/>
                <w:smallCaps w:val="0"/>
                <w:strike w:val="0"/>
                <w:color w:val="141414"/>
                <w:sz w:val="22"/>
                <w:szCs w:val="22"/>
                <w:u w:val="single"/>
                <w:shd w:fill="auto" w:val="clear"/>
                <w:vertAlign w:val="baseline"/>
                <w:rtl w:val="0"/>
              </w:rPr>
              <w:t xml:space="preserve">L'intérêt de base</w:t>
            </w:r>
            <w:r w:rsidDel="00000000" w:rsidR="00000000" w:rsidRPr="00000000">
              <w:rPr>
                <w:rFonts w:ascii="Calibri" w:cs="Calibri" w:eastAsia="Calibri" w:hAnsi="Calibri"/>
                <w:b w:val="0"/>
                <w:i w:val="0"/>
                <w:smallCaps w:val="0"/>
                <w:strike w:val="0"/>
                <w:color w:val="141414"/>
                <w:sz w:val="22"/>
                <w:szCs w:val="22"/>
                <w:u w:val="none"/>
                <w:shd w:fill="auto" w:val="clear"/>
                <w:vertAlign w:val="baseline"/>
                <w:rtl w:val="0"/>
              </w:rPr>
              <w:t xml:space="preserve"> est acquis à partir du lendemain du versement de l'argent sur le compte et jusqu'au jour du retrait. Le tarif de l'intérêt de base peut être modifié par la banque à tout moment.</w:t>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141414"/>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70c0"/>
                <w:sz w:val="22"/>
                <w:szCs w:val="22"/>
                <w:u w:val="none"/>
                <w:shd w:fill="auto" w:val="clear"/>
                <w:vertAlign w:val="baseline"/>
              </w:rPr>
            </w:pPr>
            <w:r w:rsidDel="00000000" w:rsidR="00000000" w:rsidRPr="00000000">
              <w:rPr>
                <w:rFonts w:ascii="Calibri" w:cs="Calibri" w:eastAsia="Calibri" w:hAnsi="Calibri"/>
                <w:b w:val="0"/>
                <w:i w:val="0"/>
                <w:smallCaps w:val="0"/>
                <w:strike w:val="0"/>
                <w:color w:val="141414"/>
                <w:sz w:val="22"/>
                <w:szCs w:val="22"/>
                <w:u w:val="none"/>
                <w:shd w:fill="auto" w:val="clear"/>
                <w:vertAlign w:val="baseline"/>
                <w:rtl w:val="0"/>
              </w:rPr>
              <w:t xml:space="preserve">Les taux d'intérêts de base du passé ne présentent aucune garantie pour les taux futurs.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76" w:right="0" w:firstLine="0"/>
              <w:jc w:val="both"/>
              <w:rPr>
                <w:rFonts w:ascii="Calibri" w:cs="Calibri" w:eastAsia="Calibri" w:hAnsi="Calibri"/>
                <w:b w:val="0"/>
                <w:i w:val="0"/>
                <w:smallCaps w:val="0"/>
                <w:strike w:val="0"/>
                <w:color w:val="141414"/>
                <w:sz w:val="22"/>
                <w:szCs w:val="22"/>
                <w:u w:val="none"/>
                <w:shd w:fill="auto" w:val="clear"/>
                <w:vertAlign w:val="baseline"/>
              </w:rPr>
            </w:pPr>
            <w:r w:rsidDel="00000000" w:rsidR="00000000" w:rsidRPr="00000000">
              <w:rPr>
                <w:rFonts w:ascii="Calibri" w:cs="Calibri" w:eastAsia="Calibri" w:hAnsi="Calibri"/>
                <w:b w:val="0"/>
                <w:i w:val="0"/>
                <w:smallCaps w:val="0"/>
                <w:strike w:val="0"/>
                <w:color w:val="141414"/>
                <w:sz w:val="22"/>
                <w:szCs w:val="22"/>
                <w:u w:val="none"/>
                <w:shd w:fill="auto" w:val="clear"/>
                <w:vertAlign w:val="baseline"/>
                <w:rtl w:val="0"/>
              </w:rPr>
              <w:t xml:space="preserve">La rémunération est toujours composée d'un intérêt de base et d'une prime de fidélité.</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141414"/>
                <w:sz w:val="18"/>
                <w:szCs w:val="18"/>
                <w:u w:val="none"/>
                <w:shd w:fill="auto" w:val="clear"/>
                <w:vertAlign w:val="baseline"/>
              </w:rPr>
            </w:pPr>
            <w:r w:rsidDel="00000000" w:rsidR="00000000" w:rsidRPr="00000000">
              <w:rPr>
                <w:sz w:val="24"/>
                <w:szCs w:val="24"/>
              </w:rPr>
              <w:drawing>
                <wp:inline distB="114300" distT="114300" distL="114300" distR="114300">
                  <wp:extent cx="3086100" cy="2354451"/>
                  <wp:effectExtent b="0" l="0" r="0" t="0"/>
                  <wp:docPr descr="Chart" id="234851593" name="image3.png"/>
                  <a:graphic>
                    <a:graphicData uri="http://schemas.openxmlformats.org/drawingml/2006/picture">
                      <pic:pic>
                        <pic:nvPicPr>
                          <pic:cNvPr descr="Chart" id="0" name="image3.png"/>
                          <pic:cNvPicPr preferRelativeResize="0"/>
                        </pic:nvPicPr>
                        <pic:blipFill>
                          <a:blip r:embed="rId9"/>
                          <a:srcRect b="0" l="0" r="0" t="0"/>
                          <a:stretch>
                            <a:fillRect/>
                          </a:stretch>
                        </pic:blipFill>
                        <pic:spPr>
                          <a:xfrm>
                            <a:off x="0" y="0"/>
                            <a:ext cx="3086100" cy="2354451"/>
                          </a:xfrm>
                          <a:prstGeom prst="rect"/>
                          <a:ln/>
                        </pic:spPr>
                      </pic:pic>
                    </a:graphicData>
                  </a:graphic>
                </wp:inline>
              </w:drawing>
            </w:r>
            <w:r w:rsidDel="00000000" w:rsidR="00000000" w:rsidRPr="00000000">
              <w:rPr>
                <w:rtl w:val="0"/>
              </w:rPr>
            </w:r>
          </w:p>
        </w:tc>
      </w:tr>
      <w:tr>
        <w:trPr>
          <w:cantSplit w:val="0"/>
          <w:tblHeader w:val="0"/>
        </w:trPr>
        <w:tc>
          <w:tcPr>
            <w:gridSpan w:val="2"/>
            <w:tcBorders>
              <w:left w:color="000000" w:space="0" w:sz="4" w:val="single"/>
              <w:bottom w:color="000000" w:space="0" w:sz="4" w:val="single"/>
              <w:right w:color="000000" w:space="0" w:sz="4" w:val="single"/>
            </w:tcBorders>
          </w:tcPr>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141414"/>
                <w:sz w:val="22"/>
                <w:szCs w:val="22"/>
                <w:u w:val="none"/>
                <w:shd w:fill="auto" w:val="clear"/>
                <w:vertAlign w:val="baseline"/>
              </w:rPr>
            </w:pPr>
            <w:r w:rsidDel="00000000" w:rsidR="00000000" w:rsidRPr="00000000">
              <w:rPr>
                <w:rFonts w:ascii="Calibri" w:cs="Calibri" w:eastAsia="Calibri" w:hAnsi="Calibri"/>
                <w:b w:val="0"/>
                <w:i w:val="0"/>
                <w:smallCaps w:val="0"/>
                <w:strike w:val="0"/>
                <w:color w:val="141414"/>
                <w:sz w:val="22"/>
                <w:szCs w:val="22"/>
                <w:u w:val="none"/>
                <w:shd w:fill="auto" w:val="clear"/>
                <w:vertAlign w:val="baseline"/>
                <w:rtl w:val="0"/>
              </w:rPr>
              <w:t xml:space="preserve">*</w:t>
            </w:r>
            <w:r w:rsidDel="00000000" w:rsidR="00000000" w:rsidRPr="00000000">
              <w:rPr>
                <w:rFonts w:ascii="Calibri" w:cs="Calibri" w:eastAsia="Calibri" w:hAnsi="Calibri"/>
                <w:b w:val="1"/>
                <w:i w:val="0"/>
                <w:smallCaps w:val="0"/>
                <w:strike w:val="0"/>
                <w:color w:val="141414"/>
                <w:sz w:val="22"/>
                <w:szCs w:val="22"/>
                <w:u w:val="none"/>
                <w:shd w:fill="auto" w:val="clear"/>
                <w:vertAlign w:val="baseline"/>
                <w:rtl w:val="0"/>
              </w:rPr>
              <w:t xml:space="preserve">La prime de fidélité</w:t>
            </w:r>
            <w:r w:rsidDel="00000000" w:rsidR="00000000" w:rsidRPr="00000000">
              <w:rPr>
                <w:rFonts w:ascii="Calibri" w:cs="Calibri" w:eastAsia="Calibri" w:hAnsi="Calibri"/>
                <w:b w:val="0"/>
                <w:i w:val="0"/>
                <w:smallCaps w:val="0"/>
                <w:strike w:val="0"/>
                <w:color w:val="141414"/>
                <w:sz w:val="22"/>
                <w:szCs w:val="22"/>
                <w:u w:val="none"/>
                <w:shd w:fill="auto" w:val="clear"/>
                <w:vertAlign w:val="baseline"/>
                <w:rtl w:val="0"/>
              </w:rPr>
              <w:t xml:space="preserve"> n'est acquise que sur les montants qui sont restés de manière ininterrompue sur le compte d'épargne réglementé pendant 12 mois suivant le versement. Cette prime court à partir du jour du versement. La prime de fidélité acquise sur les montants de minimum 500 euros qui sont transférés à partir de ce compte d'épargne réglementé et vers un autre compte d'épargne réglementé dont vous êtes également le titulaire dans la même banque reste acquise dans une limite de trois transferts par an.</w:t>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141414"/>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141414"/>
                <w:sz w:val="22"/>
                <w:szCs w:val="22"/>
                <w:u w:val="none"/>
                <w:shd w:fill="auto" w:val="clear"/>
                <w:vertAlign w:val="baseline"/>
              </w:rPr>
            </w:pPr>
            <w:r w:rsidDel="00000000" w:rsidR="00000000" w:rsidRPr="00000000">
              <w:rPr>
                <w:rFonts w:ascii="Calibri" w:cs="Calibri" w:eastAsia="Calibri" w:hAnsi="Calibri"/>
                <w:b w:val="0"/>
                <w:i w:val="0"/>
                <w:smallCaps w:val="0"/>
                <w:strike w:val="0"/>
                <w:color w:val="141414"/>
                <w:sz w:val="22"/>
                <w:szCs w:val="22"/>
                <w:u w:val="none"/>
                <w:shd w:fill="auto" w:val="clear"/>
                <w:vertAlign w:val="baseline"/>
                <w:rtl w:val="0"/>
              </w:rPr>
              <w:t xml:space="preserve">Le jour suivant celui de l'acquisition de la prime de fidélité débute une nouvelle période d'acquisition de 12 mois. Le tarif de la prime de fidélité peut être modifié par la banque à tout moment. Le tarif de la prime de fidélité en vigueur au moment du versement ou du départ d’une nouvelle période reste inchangé pendant une période de 12 mois.</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141414"/>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141414"/>
                <w:sz w:val="22"/>
                <w:szCs w:val="22"/>
                <w:u w:val="none"/>
                <w:shd w:fill="auto" w:val="clear"/>
                <w:vertAlign w:val="baseline"/>
              </w:rPr>
            </w:pPr>
            <w:r w:rsidDel="00000000" w:rsidR="00000000" w:rsidRPr="00000000">
              <w:rPr>
                <w:rFonts w:ascii="Calibri" w:cs="Calibri" w:eastAsia="Calibri" w:hAnsi="Calibri"/>
                <w:b w:val="0"/>
                <w:i w:val="0"/>
                <w:smallCaps w:val="0"/>
                <w:strike w:val="0"/>
                <w:color w:val="141414"/>
                <w:sz w:val="22"/>
                <w:szCs w:val="22"/>
                <w:u w:val="none"/>
                <w:shd w:fill="auto" w:val="clear"/>
                <w:vertAlign w:val="baseline"/>
                <w:rtl w:val="0"/>
              </w:rPr>
              <w:t xml:space="preserve">L'intérêt de base est versé sur votre compte en date valeur du 1 janvier ou lors de la clôture du compte. La prime de fidélité déjà acquise est versée sur votre compte le premier jour qui suit le trimestre au cours duquel elle est acquise, à savoir les 1er janvier, 1er avril, 1er juillet et 1er octobre ou lors de la clôture du compte. </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141414"/>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141414"/>
                <w:sz w:val="22"/>
                <w:szCs w:val="22"/>
                <w:u w:val="none"/>
                <w:shd w:fill="auto" w:val="clear"/>
                <w:vertAlign w:val="baseline"/>
              </w:rPr>
            </w:pPr>
            <w:r w:rsidDel="00000000" w:rsidR="00000000" w:rsidRPr="00000000">
              <w:rPr>
                <w:rFonts w:ascii="Calibri" w:cs="Calibri" w:eastAsia="Calibri" w:hAnsi="Calibri"/>
                <w:b w:val="1"/>
                <w:i w:val="0"/>
                <w:smallCaps w:val="0"/>
                <w:strike w:val="0"/>
                <w:color w:val="141414"/>
                <w:sz w:val="22"/>
                <w:szCs w:val="22"/>
                <w:u w:val="single"/>
                <w:shd w:fill="auto" w:val="clear"/>
                <w:vertAlign w:val="baseline"/>
                <w:rtl w:val="0"/>
              </w:rPr>
              <w:t xml:space="preserve">Attention</w:t>
            </w:r>
            <w:r w:rsidDel="00000000" w:rsidR="00000000" w:rsidRPr="00000000">
              <w:rPr>
                <w:rFonts w:ascii="Calibri" w:cs="Calibri" w:eastAsia="Calibri" w:hAnsi="Calibri"/>
                <w:b w:val="0"/>
                <w:i w:val="0"/>
                <w:smallCaps w:val="0"/>
                <w:strike w:val="0"/>
                <w:color w:val="141414"/>
                <w:sz w:val="22"/>
                <w:szCs w:val="22"/>
                <w:u w:val="none"/>
                <w:shd w:fill="auto" w:val="clear"/>
                <w:vertAlign w:val="baseline"/>
                <w:rtl w:val="0"/>
              </w:rPr>
              <w:t xml:space="preserve">: Si vous retirez votre argent avant la fin de la période de 12 mois, vous ne recevrez pas de prime de fidélité sur cet argent. Il est donc important de connaître la date d'acquisition de la prime de fidélité, du moins pour les sommes importantes. Ce retrait n'aura pas d'influence sur l'acquisition de l'intérêt de base.</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141414"/>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141414"/>
                <w:sz w:val="22"/>
                <w:szCs w:val="22"/>
                <w:u w:val="none"/>
                <w:shd w:fill="auto" w:val="clear"/>
                <w:vertAlign w:val="baseline"/>
              </w:rPr>
            </w:pPr>
            <w:r w:rsidDel="00000000" w:rsidR="00000000" w:rsidRPr="00000000">
              <w:rPr>
                <w:rtl w:val="0"/>
              </w:rPr>
            </w:r>
          </w:p>
        </w:tc>
      </w:tr>
      <w:tr>
        <w:trPr>
          <w:cantSplit w:val="0"/>
          <w:tblHeader w:val="0"/>
        </w:trPr>
        <w:tc>
          <w:tcPr>
            <w:gridSpan w:val="2"/>
            <w:tcBorders>
              <w:top w:color="000000" w:space="0" w:sz="4" w:val="single"/>
              <w:left w:color="000000" w:space="0" w:sz="4" w:val="single"/>
              <w:bottom w:color="000000" w:space="0" w:sz="4" w:val="single"/>
              <w:right w:color="000000" w:space="0" w:sz="4" w:val="single"/>
            </w:tcBorders>
            <w:shd w:fill="321464" w:val="clear"/>
          </w:tcPr>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ffffff"/>
                <w:sz w:val="22"/>
                <w:szCs w:val="22"/>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3. Frais</w:t>
            </w:r>
          </w:p>
        </w:tc>
      </w:tr>
      <w:tr>
        <w:trPr>
          <w:cantSplit w:val="0"/>
          <w:tblHeader w:val="0"/>
        </w:trPr>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2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5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Frais de gestion</w:t>
            </w:r>
          </w:p>
          <w:p w:rsidR="00000000" w:rsidDel="00000000" w:rsidP="00000000" w:rsidRDefault="00000000" w:rsidRPr="00000000" w14:paraId="00000027">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40" w:lineRule="auto"/>
              <w:ind w:left="1440" w:right="0" w:hanging="35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ouverture: gratuite</w:t>
            </w:r>
          </w:p>
          <w:p w:rsidR="00000000" w:rsidDel="00000000" w:rsidP="00000000" w:rsidRDefault="00000000" w:rsidRPr="00000000" w14:paraId="00000028">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40" w:lineRule="auto"/>
              <w:ind w:left="1440" w:right="0" w:hanging="35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fermeture : gratuite</w:t>
            </w:r>
          </w:p>
          <w:p w:rsidR="00000000" w:rsidDel="00000000" w:rsidP="00000000" w:rsidRDefault="00000000" w:rsidRPr="00000000" w14:paraId="00000029">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40" w:lineRule="auto"/>
              <w:ind w:left="1440" w:right="0" w:hanging="35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décompte annuel: gratuit</w:t>
            </w:r>
          </w:p>
          <w:p w:rsidR="00000000" w:rsidDel="00000000" w:rsidP="00000000" w:rsidRDefault="00000000" w:rsidRPr="00000000" w14:paraId="0000002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5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Assurance éventuelle : non-applicable</w:t>
            </w:r>
          </w:p>
          <w:p w:rsidR="00000000" w:rsidDel="00000000" w:rsidP="00000000" w:rsidRDefault="00000000" w:rsidRPr="00000000" w14:paraId="0000002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Coûts éventuels d'envoi de courrier et autres coûts : pas d’affranchissement, les extraits de compte sont disponibles via mobile banking</w:t>
            </w:r>
          </w:p>
        </w:tc>
      </w:tr>
      <w:tr>
        <w:trPr>
          <w:cantSplit w:val="0"/>
          <w:tblHeader w:val="0"/>
        </w:trPr>
        <w:tc>
          <w:tcPr>
            <w:gridSpan w:val="2"/>
            <w:tcBorders>
              <w:top w:color="000000" w:space="0" w:sz="4" w:val="single"/>
              <w:left w:color="000000" w:space="0" w:sz="4" w:val="single"/>
              <w:bottom w:color="000000" w:space="0" w:sz="4" w:val="single"/>
              <w:right w:color="000000" w:space="0" w:sz="4" w:val="single"/>
            </w:tcBorders>
            <w:shd w:fill="321464" w:val="clear"/>
          </w:tcPr>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ffffff"/>
                <w:sz w:val="22"/>
                <w:szCs w:val="22"/>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4. Fiscalité</w:t>
            </w:r>
          </w:p>
        </w:tc>
      </w:tr>
      <w:tr>
        <w:trPr>
          <w:cantSplit w:val="0"/>
          <w:tblHeader w:val="0"/>
        </w:trPr>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Le précompte mobilier n’est pas dû sur la première tranche d’intérêts (à concurrence d’un plafond de 980 EUR pour l’année de revenus 2023) perçus par compte, par personne physique résidente en Belgique et par année. Ce montant est doublé pour les comptes ouverts au nom de conjoints mariés ou cohabitants légaux (soit un plafond de 1960 EUR pour l’année de revenus 2023).</w:t>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141414"/>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Le précompte mobilier est de 15% pour tout intérêt qui dépasse le plafond. Il est retenu à la source automatiquement par votre banque. Si vous disposez de plusieurs comptes d’épargne, vous êtes tenu de mentionner dans votre déclaration fiscale les intérêts perçus au-delà du plafond et qui n’ont pas été soumis au précompte mobilier.</w:t>
            </w:r>
            <w:r w:rsidDel="00000000" w:rsidR="00000000" w:rsidRPr="00000000">
              <w:rPr>
                <w:rtl w:val="0"/>
              </w:rPr>
            </w:r>
          </w:p>
        </w:tc>
      </w:tr>
      <w:tr>
        <w:trPr>
          <w:cantSplit w:val="0"/>
          <w:tblHeader w:val="0"/>
        </w:trPr>
        <w:tc>
          <w:tcPr>
            <w:gridSpan w:val="2"/>
            <w:tcBorders>
              <w:top w:color="000000" w:space="0" w:sz="4" w:val="single"/>
              <w:left w:color="000000" w:space="0" w:sz="4" w:val="single"/>
              <w:bottom w:color="000000" w:space="0" w:sz="4" w:val="single"/>
              <w:right w:color="000000" w:space="0" w:sz="4" w:val="single"/>
            </w:tcBorders>
            <w:shd w:fill="321464" w:val="clear"/>
          </w:tcPr>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i w:val="0"/>
                <w:smallCaps w:val="0"/>
                <w:strike w:val="0"/>
                <w:color w:val="ffffff"/>
                <w:sz w:val="22"/>
                <w:szCs w:val="22"/>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5. Autres informations</w:t>
            </w:r>
          </w:p>
        </w:tc>
      </w:tr>
      <w:tr>
        <w:trPr>
          <w:cantSplit w:val="0"/>
          <w:trHeight w:val="2117" w:hRule="atLeast"/>
          <w:tblHeader w:val="0"/>
        </w:trPr>
        <w:tc>
          <w:tcPr>
            <w:tcBorders>
              <w:top w:color="000000" w:space="0" w:sz="4" w:val="single"/>
              <w:left w:color="000000" w:space="0" w:sz="4" w:val="single"/>
              <w:bottom w:color="000000" w:space="0" w:sz="4" w:val="single"/>
            </w:tcBorders>
          </w:tcPr>
          <w:p w:rsidR="00000000" w:rsidDel="00000000" w:rsidP="00000000" w:rsidRDefault="00000000" w:rsidRPr="00000000" w14:paraId="00000034">
            <w:pPr>
              <w:keepNext w:val="0"/>
              <w:keepLines w:val="0"/>
              <w:pageBreakBefore w:val="0"/>
              <w:widowControl w:val="1"/>
              <w:numPr>
                <w:ilvl w:val="1"/>
                <w:numId w:val="3"/>
              </w:numPr>
              <w:pBdr>
                <w:top w:space="0" w:sz="0" w:val="nil"/>
                <w:left w:space="0" w:sz="0" w:val="nil"/>
                <w:bottom w:space="0" w:sz="0" w:val="nil"/>
                <w:right w:space="0" w:sz="0" w:val="nil"/>
                <w:between w:space="0" w:sz="0" w:val="nil"/>
              </w:pBdr>
              <w:shd w:fill="auto" w:val="clear"/>
              <w:spacing w:after="0" w:before="0" w:line="240" w:lineRule="auto"/>
              <w:ind w:left="709"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Le compte d'épargne a une durée indéterminée. Dans les limites imposées par la loi, vous pouvez retirer votre argent à tout moment. Les possibilités de transférer l'argent sont limitées par la loi. Ce compte ne peut donc pas être utilisé comme un compte de paiement. Vous pouvez toujours demander conseil à votre banque.</w:t>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09"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6">
            <w:pPr>
              <w:keepNext w:val="0"/>
              <w:keepLines w:val="0"/>
              <w:pageBreakBefore w:val="0"/>
              <w:widowControl w:val="1"/>
              <w:numPr>
                <w:ilvl w:val="1"/>
                <w:numId w:val="3"/>
              </w:numPr>
              <w:pBdr>
                <w:top w:space="0" w:sz="0" w:val="nil"/>
                <w:left w:space="0" w:sz="0" w:val="nil"/>
                <w:bottom w:space="0" w:sz="0" w:val="nil"/>
                <w:right w:space="0" w:sz="0" w:val="nil"/>
                <w:between w:space="0" w:sz="0" w:val="nil"/>
              </w:pBdr>
              <w:shd w:fill="auto" w:val="clear"/>
              <w:spacing w:after="0" w:before="0" w:line="240" w:lineRule="auto"/>
              <w:ind w:left="709"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Les montants versés par les particuliers et certaines personnes morales tombent sous le mécanisme européen de protection des dépôts à concurrence de 100.000 euros par personne et par banque. Aion Bank SA est affiliée au système légal obligatoire belge de garantie des dépôts. Vous pouvez obtenir plus d'information sur ce système de protection sur le site internet :</w:t>
            </w:r>
          </w:p>
          <w:p w:rsidR="00000000" w:rsidDel="00000000" w:rsidP="00000000" w:rsidRDefault="00000000" w:rsidRPr="00000000" w14:paraId="00000037">
            <w:pPr>
              <w:ind w:left="742" w:firstLine="0"/>
              <w:jc w:val="both"/>
              <w:rPr>
                <w:rFonts w:ascii="Calibri" w:cs="Calibri" w:eastAsia="Calibri" w:hAnsi="Calibri"/>
                <w:sz w:val="22"/>
                <w:szCs w:val="22"/>
              </w:rPr>
            </w:pPr>
            <w:hyperlink r:id="rId10">
              <w:r w:rsidDel="00000000" w:rsidR="00000000" w:rsidRPr="00000000">
                <w:rPr>
                  <w:rFonts w:ascii="Calibri" w:cs="Calibri" w:eastAsia="Calibri" w:hAnsi="Calibri"/>
                  <w:color w:val="1155cc"/>
                  <w:sz w:val="22"/>
                  <w:szCs w:val="22"/>
                  <w:u w:val="single"/>
                  <w:rtl w:val="0"/>
                </w:rPr>
                <w:t xml:space="preserve">www.fondsdegarantie.belgium.be</w:t>
              </w:r>
            </w:hyperlink>
            <w:r w:rsidDel="00000000" w:rsidR="00000000" w:rsidRPr="00000000">
              <w:rPr>
                <w:rFonts w:ascii="Calibri" w:cs="Calibri" w:eastAsia="Calibri" w:hAnsi="Calibri"/>
                <w:sz w:val="22"/>
                <w:szCs w:val="22"/>
                <w:rtl w:val="0"/>
              </w:rPr>
              <w:t xml:space="preserve">.</w:t>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09"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tc>
        <w:tc>
          <w:tcPr>
            <w:tcBorders>
              <w:top w:color="000000" w:space="0" w:sz="4" w:val="single"/>
              <w:bottom w:color="000000" w:space="0" w:sz="4" w:val="single"/>
              <w:right w:color="000000" w:space="0" w:sz="4" w:val="single"/>
            </w:tcBorders>
          </w:tcPr>
          <w:p w:rsidR="00000000" w:rsidDel="00000000" w:rsidP="00000000" w:rsidRDefault="00000000" w:rsidRPr="00000000" w14:paraId="00000039">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240" w:lineRule="auto"/>
              <w:ind w:left="595" w:right="0" w:hanging="357"/>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Le règlement complet de la banque en matière de compte d'épargne peut être obtenu ou consulté gratuitement sur </w:t>
            </w:r>
            <w:hyperlink r:id="rId11">
              <w:r w:rsidDel="00000000" w:rsidR="00000000" w:rsidRPr="00000000">
                <w:rPr>
                  <w:rFonts w:ascii="Calibri" w:cs="Calibri" w:eastAsia="Calibri" w:hAnsi="Calibri"/>
                  <w:b w:val="0"/>
                  <w:i w:val="0"/>
                  <w:smallCaps w:val="0"/>
                  <w:strike w:val="0"/>
                  <w:color w:val="668899"/>
                  <w:sz w:val="22"/>
                  <w:szCs w:val="22"/>
                  <w:u w:val="single"/>
                  <w:shd w:fill="auto" w:val="clear"/>
                  <w:vertAlign w:val="baseline"/>
                  <w:rtl w:val="0"/>
                </w:rPr>
                <w:t xml:space="preserve">www.aion.be</w:t>
              </w:r>
            </w:hyperlink>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95"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B">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240" w:lineRule="auto"/>
              <w:ind w:left="595" w:right="0" w:hanging="357"/>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Cette fiche peut être modifiée. Une version mise à jour est disponible sur la page “épargne” de notre site </w:t>
            </w:r>
            <w:hyperlink r:id="rId12">
              <w:r w:rsidDel="00000000" w:rsidR="00000000" w:rsidRPr="00000000">
                <w:rPr>
                  <w:rFonts w:ascii="Calibri" w:cs="Calibri" w:eastAsia="Calibri" w:hAnsi="Calibri"/>
                  <w:b w:val="0"/>
                  <w:i w:val="0"/>
                  <w:smallCaps w:val="0"/>
                  <w:strike w:val="0"/>
                  <w:color w:val="668899"/>
                  <w:sz w:val="22"/>
                  <w:szCs w:val="22"/>
                  <w:u w:val="single"/>
                  <w:shd w:fill="auto" w:val="clear"/>
                  <w:vertAlign w:val="baseline"/>
                  <w:rtl w:val="0"/>
                </w:rPr>
                <w:t xml:space="preserve">www.aion.be</w:t>
              </w:r>
            </w:hyperlink>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D">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240" w:lineRule="auto"/>
              <w:ind w:left="595" w:right="0" w:hanging="357"/>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cas de plainte, vous pouvez vous adresser à Aion Bank SA – CUSTOMER SERVICE - Manhattan Center, Avenue du Boulevard 21, 1210 Bruxelles, Belgique. Si vous n’obtenez pas satisfaction, contactez le Service de Médiation Banques – Crédit - Placement (</w:t>
            </w:r>
            <w:hyperlink r:id="rId13">
              <w:r w:rsidDel="00000000" w:rsidR="00000000" w:rsidRPr="00000000">
                <w:rPr>
                  <w:rFonts w:ascii="Calibri" w:cs="Calibri" w:eastAsia="Calibri" w:hAnsi="Calibri"/>
                  <w:b w:val="0"/>
                  <w:i w:val="0"/>
                  <w:smallCaps w:val="0"/>
                  <w:strike w:val="0"/>
                  <w:color w:val="1155cc"/>
                  <w:sz w:val="22"/>
                  <w:szCs w:val="22"/>
                  <w:u w:val="single"/>
                  <w:shd w:fill="auto" w:val="clear"/>
                  <w:vertAlign w:val="baseline"/>
                  <w:rtl w:val="0"/>
                </w:rPr>
                <w:t xml:space="preserve">www.ombudsfin.be</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95"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Quel compte et quelle rémunération correspondent à vos besoins ? Consultez le site internet d'éducation financière de la FSMA: </w:t>
            </w:r>
            <w:hyperlink r:id="rId14">
              <w:r w:rsidDel="00000000" w:rsidR="00000000" w:rsidRPr="00000000">
                <w:rPr>
                  <w:rFonts w:ascii="Calibri" w:cs="Calibri" w:eastAsia="Calibri" w:hAnsi="Calibri"/>
                  <w:b w:val="0"/>
                  <w:i w:val="0"/>
                  <w:smallCaps w:val="0"/>
                  <w:strike w:val="0"/>
                  <w:color w:val="668899"/>
                  <w:sz w:val="22"/>
                  <w:szCs w:val="22"/>
                  <w:u w:val="single"/>
                  <w:shd w:fill="auto" w:val="clear"/>
                  <w:vertAlign w:val="baseline"/>
                  <w:rtl w:val="0"/>
                </w:rPr>
                <w:t xml:space="preserve">http://www.wikifin.be</w:t>
              </w:r>
            </w:hyperlink>
            <w:r w:rsidDel="00000000" w:rsidR="00000000" w:rsidRPr="00000000">
              <w:rPr>
                <w:rtl w:val="0"/>
              </w:rPr>
            </w:r>
          </w:p>
        </w:tc>
      </w:tr>
    </w:tbl>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26"/>
        </w:tabs>
        <w:spacing w:after="0" w:before="48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584200</wp:posOffset>
                </wp:positionV>
                <wp:extent cx="6274435" cy="459740"/>
                <wp:effectExtent b="0" l="0" r="0" t="0"/>
                <wp:wrapNone/>
                <wp:docPr id="234851592" name=""/>
                <a:graphic>
                  <a:graphicData uri="http://schemas.microsoft.com/office/word/2010/wordprocessingShape">
                    <wps:wsp>
                      <wps:cNvSpPr/>
                      <wps:cNvPr id="2" name="Shape 2"/>
                      <wps:spPr>
                        <a:xfrm>
                          <a:off x="2215133" y="3556480"/>
                          <a:ext cx="6261735" cy="447040"/>
                        </a:xfrm>
                        <a:prstGeom prst="rect">
                          <a:avLst/>
                        </a:prstGeom>
                        <a:noFill/>
                        <a:ln cap="flat" cmpd="sng" w="12700">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Calibri" w:cs="Calibri" w:eastAsia="Calibri" w:hAnsi="Calibri"/>
                                <w:b w:val="0"/>
                                <w:i w:val="0"/>
                                <w:smallCaps w:val="0"/>
                                <w:strike w:val="0"/>
                                <w:color w:val="000000"/>
                                <w:sz w:val="22"/>
                                <w:vertAlign w:val="baseline"/>
                              </w:rPr>
                              <w:t xml:space="preserve">Aion Bank SA, Manhattan Center, Avenue du Boulevard 21, 1210 Bruxelles, Belgique,</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Calibri" w:cs="Calibri" w:eastAsia="Calibri" w:hAnsi="Calibri"/>
                                <w:b w:val="0"/>
                                <w:i w:val="0"/>
                                <w:smallCaps w:val="0"/>
                                <w:strike w:val="0"/>
                                <w:color w:val="000000"/>
                                <w:sz w:val="22"/>
                                <w:vertAlign w:val="baseline"/>
                              </w:rPr>
                            </w:r>
                            <w:r w:rsidDel="00000000" w:rsidR="00000000" w:rsidRPr="00000000">
                              <w:rPr>
                                <w:rFonts w:ascii="Calibri" w:cs="Calibri" w:eastAsia="Calibri" w:hAnsi="Calibri"/>
                                <w:b w:val="0"/>
                                <w:i w:val="0"/>
                                <w:smallCaps w:val="0"/>
                                <w:strike w:val="0"/>
                                <w:color w:val="000000"/>
                                <w:sz w:val="22"/>
                                <w:vertAlign w:val="baseline"/>
                              </w:rPr>
                              <w:t xml:space="preserve">RPM Bruxelles – TVA BE 0403.199.306 – tél. : 02/220.72.49</w:t>
                            </w:r>
                          </w:p>
                        </w:txbxContent>
                      </wps:txbx>
                      <wps:bodyPr anchorCtr="0" anchor="t" bIns="38100" lIns="88900" spcFirstLastPara="1" rIns="88900" wrap="square" tIns="381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584200</wp:posOffset>
                </wp:positionV>
                <wp:extent cx="6274435" cy="459740"/>
                <wp:effectExtent b="0" l="0" r="0" t="0"/>
                <wp:wrapNone/>
                <wp:docPr id="234851592" name="image2.png"/>
                <a:graphic>
                  <a:graphicData uri="http://schemas.openxmlformats.org/drawingml/2006/picture">
                    <pic:pic>
                      <pic:nvPicPr>
                        <pic:cNvPr id="0" name="image2.png"/>
                        <pic:cNvPicPr preferRelativeResize="0"/>
                      </pic:nvPicPr>
                      <pic:blipFill>
                        <a:blip r:embed="rId15"/>
                        <a:srcRect/>
                        <a:stretch>
                          <a:fillRect/>
                        </a:stretch>
                      </pic:blipFill>
                      <pic:spPr>
                        <a:xfrm>
                          <a:off x="0" y="0"/>
                          <a:ext cx="6274435" cy="459740"/>
                        </a:xfrm>
                        <a:prstGeom prst="rect"/>
                        <a:ln/>
                      </pic:spPr>
                    </pic:pic>
                  </a:graphicData>
                </a:graphic>
              </wp:anchor>
            </w:drawing>
          </mc:Fallback>
        </mc:AlternateContent>
      </w:r>
    </w:p>
    <w:sectPr>
      <w:headerReference r:id="rId16" w:type="first"/>
      <w:headerReference r:id="rId17" w:type="even"/>
      <w:footerReference r:id="rId18" w:type="default"/>
      <w:footerReference r:id="rId19" w:type="first"/>
      <w:pgSz w:h="16840" w:w="11907" w:orient="portrait"/>
      <w:pgMar w:bottom="567" w:top="284" w:left="1134" w:right="1134" w:header="567" w:footer="567"/>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Calibri"/>
  <w:font w:name="Times New Roman"/>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23"/>
      </w:tabs>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Tekst DEEL in de Footer</w:t>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23"/>
        <w:tab w:val="right" w:leader="none" w:pos="9639"/>
      </w:tabs>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w:fldChar w:fldCharType="begin"/>
      <w:instrText xml:space="preserve">PAGE</w:instrText>
      <w:fldChar w:fldCharType="separate"/>
      <w:fldChar w:fldCharType="end"/>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w:fldChar w:fldCharType="begin"/>
      <w:instrText xml:space="preserve">NUMPAGES</w:instrText>
      <w:fldChar w:fldCharType="separate"/>
      <w:fldChar w:fldCharType="end"/>
    </w: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18"/>
          <w:szCs w:val="18"/>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18"/>
          <w:szCs w:val="18"/>
          <w:u w:val="none"/>
          <w:shd w:fill="auto" w:val="clear"/>
          <w:vertAlign w:val="baseline"/>
          <w:rtl w:val="0"/>
        </w:rPr>
        <w:t xml:space="preserve"> Qui satisfait aux conditions visées par l’article 2 de l’AR/CIR 92.</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23"/>
        <w:tab w:val="center" w:leader="none" w:pos="4395"/>
      </w:tabs>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Tekst DEEL in de Header</w:t>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23"/>
        <w:tab w:val="center" w:leader="none" w:pos="4395"/>
      </w:tabs>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
      <w:lvlJc w:val="left"/>
      <w:pPr>
        <w:ind w:left="1440" w:hanging="360"/>
      </w:pPr>
      <w:rPr>
        <w:rFonts w:ascii="Noto Sans Symbols" w:cs="Noto Sans Symbols" w:eastAsia="Noto Sans Symbols" w:hAnsi="Noto Sans Symbols"/>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decimal"/>
      <w:lvlText w:val="%1."/>
      <w:lvlJc w:val="left"/>
      <w:pPr>
        <w:ind w:left="567" w:hanging="360"/>
      </w:pPr>
      <w:rPr/>
    </w:lvl>
    <w:lvl w:ilvl="1">
      <w:start w:val="1"/>
      <w:numFmt w:val="bullet"/>
      <w:lvlText w:val="✔"/>
      <w:lvlJc w:val="left"/>
      <w:pPr>
        <w:ind w:left="1287" w:hanging="360.0000000000001"/>
      </w:pPr>
      <w:rPr>
        <w:rFonts w:ascii="Noto Sans Symbols" w:cs="Noto Sans Symbols" w:eastAsia="Noto Sans Symbols" w:hAnsi="Noto Sans Symbols"/>
      </w:rPr>
    </w:lvl>
    <w:lvl w:ilvl="2">
      <w:start w:val="1"/>
      <w:numFmt w:val="bullet"/>
      <w:lvlText w:val="▪"/>
      <w:lvlJc w:val="left"/>
      <w:pPr>
        <w:ind w:left="2007" w:hanging="360"/>
      </w:pPr>
      <w:rPr>
        <w:rFonts w:ascii="Noto Sans Symbols" w:cs="Noto Sans Symbols" w:eastAsia="Noto Sans Symbols" w:hAnsi="Noto Sans Symbols"/>
      </w:rPr>
    </w:lvl>
    <w:lvl w:ilvl="3">
      <w:start w:val="1"/>
      <w:numFmt w:val="bullet"/>
      <w:lvlText w:val="●"/>
      <w:lvlJc w:val="left"/>
      <w:pPr>
        <w:ind w:left="2727" w:hanging="360"/>
      </w:pPr>
      <w:rPr>
        <w:rFonts w:ascii="Noto Sans Symbols" w:cs="Noto Sans Symbols" w:eastAsia="Noto Sans Symbols" w:hAnsi="Noto Sans Symbols"/>
      </w:rPr>
    </w:lvl>
    <w:lvl w:ilvl="4">
      <w:start w:val="1"/>
      <w:numFmt w:val="bullet"/>
      <w:lvlText w:val="o"/>
      <w:lvlJc w:val="left"/>
      <w:pPr>
        <w:ind w:left="3447" w:hanging="360"/>
      </w:pPr>
      <w:rPr>
        <w:rFonts w:ascii="Courier New" w:cs="Courier New" w:eastAsia="Courier New" w:hAnsi="Courier New"/>
      </w:rPr>
    </w:lvl>
    <w:lvl w:ilvl="5">
      <w:start w:val="1"/>
      <w:numFmt w:val="bullet"/>
      <w:lvlText w:val="▪"/>
      <w:lvlJc w:val="left"/>
      <w:pPr>
        <w:ind w:left="4167" w:hanging="360"/>
      </w:pPr>
      <w:rPr>
        <w:rFonts w:ascii="Noto Sans Symbols" w:cs="Noto Sans Symbols" w:eastAsia="Noto Sans Symbols" w:hAnsi="Noto Sans Symbols"/>
      </w:rPr>
    </w:lvl>
    <w:lvl w:ilvl="6">
      <w:start w:val="1"/>
      <w:numFmt w:val="bullet"/>
      <w:lvlText w:val="●"/>
      <w:lvlJc w:val="left"/>
      <w:pPr>
        <w:ind w:left="4887" w:hanging="360"/>
      </w:pPr>
      <w:rPr>
        <w:rFonts w:ascii="Noto Sans Symbols" w:cs="Noto Sans Symbols" w:eastAsia="Noto Sans Symbols" w:hAnsi="Noto Sans Symbols"/>
      </w:rPr>
    </w:lvl>
    <w:lvl w:ilvl="7">
      <w:start w:val="1"/>
      <w:numFmt w:val="bullet"/>
      <w:lvlText w:val="o"/>
      <w:lvlJc w:val="left"/>
      <w:pPr>
        <w:ind w:left="5607" w:hanging="360"/>
      </w:pPr>
      <w:rPr>
        <w:rFonts w:ascii="Courier New" w:cs="Courier New" w:eastAsia="Courier New" w:hAnsi="Courier New"/>
      </w:rPr>
    </w:lvl>
    <w:lvl w:ilvl="8">
      <w:start w:val="1"/>
      <w:numFmt w:val="bullet"/>
      <w:lvlText w:val="▪"/>
      <w:lvlJc w:val="left"/>
      <w:pPr>
        <w:ind w:left="6327"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lang w:val="fr-BE"/>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0A52D2"/>
    <w:pPr>
      <w:overflowPunct w:val="0"/>
      <w:autoSpaceDE w:val="0"/>
      <w:autoSpaceDN w:val="0"/>
      <w:adjustRightInd w:val="0"/>
      <w:textAlignment w:val="baseline"/>
    </w:pPr>
    <w:rPr>
      <w:rFonts w:ascii="Times New Roman" w:cs="Mangal" w:hAnsi="Times New Roman"/>
      <w:lang w:bidi="ne-IN" w:eastAsia="en-US" w:val="nl-BE"/>
    </w:rPr>
  </w:style>
  <w:style w:type="character" w:styleId="Policepardfaut" w:default="1">
    <w:name w:val="Default Paragraph Font"/>
    <w:uiPriority w:val="1"/>
    <w:unhideWhenUsed w:val="1"/>
  </w:style>
  <w:style w:type="table" w:styleId="Tableau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Aucuneliste" w:default="1">
    <w:name w:val="No List"/>
    <w:uiPriority w:val="99"/>
    <w:semiHidden w:val="1"/>
    <w:unhideWhenUsed w:val="1"/>
  </w:style>
  <w:style w:type="paragraph" w:styleId="Pieddepage">
    <w:name w:val="footer"/>
    <w:basedOn w:val="Normal"/>
    <w:link w:val="PieddepageCar"/>
    <w:uiPriority w:val="99"/>
    <w:rsid w:val="000A52D2"/>
    <w:pPr>
      <w:tabs>
        <w:tab w:val="right" w:pos="9923"/>
      </w:tabs>
    </w:pPr>
    <w:rPr>
      <w:rFonts w:cs="Times New Roman"/>
      <w:lang w:bidi="ar-SA"/>
    </w:rPr>
  </w:style>
  <w:style w:type="character" w:styleId="PieddepageCar" w:customStyle="1">
    <w:name w:val="Pied de page Car"/>
    <w:link w:val="Pieddepage"/>
    <w:uiPriority w:val="99"/>
    <w:locked w:val="1"/>
    <w:rsid w:val="00F14B16"/>
    <w:rPr>
      <w:rFonts w:ascii="Times New Roman" w:hAnsi="Times New Roman"/>
      <w:sz w:val="20"/>
    </w:rPr>
  </w:style>
  <w:style w:type="paragraph" w:styleId="En-tte">
    <w:name w:val="header"/>
    <w:basedOn w:val="Normal"/>
    <w:link w:val="En-tteCar"/>
    <w:uiPriority w:val="99"/>
    <w:rsid w:val="000A52D2"/>
    <w:pPr>
      <w:tabs>
        <w:tab w:val="right" w:pos="9923"/>
      </w:tabs>
    </w:pPr>
    <w:rPr>
      <w:rFonts w:cs="Times New Roman"/>
      <w:lang w:bidi="ar-SA"/>
    </w:rPr>
  </w:style>
  <w:style w:type="character" w:styleId="En-tteCar" w:customStyle="1">
    <w:name w:val="En-tête Car"/>
    <w:link w:val="En-tte"/>
    <w:uiPriority w:val="99"/>
    <w:locked w:val="1"/>
    <w:rsid w:val="00F14B16"/>
    <w:rPr>
      <w:rFonts w:ascii="Times New Roman" w:hAnsi="Times New Roman"/>
      <w:sz w:val="20"/>
    </w:rPr>
  </w:style>
  <w:style w:type="paragraph" w:styleId="Rsum" w:customStyle="1">
    <w:name w:val="Résumé"/>
    <w:basedOn w:val="Normal"/>
    <w:rsid w:val="000A52D2"/>
    <w:pPr>
      <w:jc w:val="both"/>
    </w:pPr>
    <w:rPr>
      <w:b w:val="1"/>
      <w:bCs w:val="1"/>
      <w:sz w:val="24"/>
      <w:szCs w:val="24"/>
    </w:rPr>
  </w:style>
  <w:style w:type="table" w:styleId="Grilledutableau">
    <w:name w:val="Table Grid"/>
    <w:basedOn w:val="TableauNormal"/>
    <w:uiPriority w:val="59"/>
    <w:rsid w:val="00F14B16"/>
    <w:pPr>
      <w:overflowPunct w:val="0"/>
      <w:autoSpaceDE w:val="0"/>
      <w:autoSpaceDN w:val="0"/>
      <w:adjustRightInd w:val="0"/>
    </w:pPr>
    <w:rPr>
      <w:rFonts w:ascii="Times New Roman" w:hAnsi="Times New Roman"/>
      <w:lang w:bidi="ne-IN"/>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Paragraphedeliste">
    <w:name w:val="List Paragraph"/>
    <w:basedOn w:val="Normal"/>
    <w:uiPriority w:val="34"/>
    <w:qFormat w:val="1"/>
    <w:rsid w:val="000A52D2"/>
    <w:pPr>
      <w:ind w:left="720"/>
      <w:contextualSpacing w:val="1"/>
      <w:textAlignment w:val="auto"/>
    </w:pPr>
    <w:rPr>
      <w:rFonts w:cs="Times New Roman"/>
      <w:lang w:bidi="ar-SA" w:val="en-US"/>
    </w:rPr>
  </w:style>
  <w:style w:type="paragraph" w:styleId="NormalWeb">
    <w:name w:val="Normal (Web)"/>
    <w:basedOn w:val="Normal"/>
    <w:uiPriority w:val="99"/>
    <w:unhideWhenUsed w:val="1"/>
    <w:rsid w:val="000A52D2"/>
    <w:pPr>
      <w:overflowPunct w:val="1"/>
      <w:autoSpaceDE w:val="1"/>
      <w:autoSpaceDN w:val="1"/>
      <w:adjustRightInd w:val="1"/>
      <w:spacing w:line="336" w:lineRule="atLeast"/>
      <w:textAlignment w:val="auto"/>
    </w:pPr>
    <w:rPr>
      <w:rFonts w:cs="Times New Roman"/>
      <w:sz w:val="24"/>
      <w:szCs w:val="24"/>
      <w:lang w:bidi="ar-SA" w:eastAsia="nl-BE"/>
    </w:rPr>
  </w:style>
  <w:style w:type="paragraph" w:styleId="Textedebulles">
    <w:name w:val="Balloon Text"/>
    <w:basedOn w:val="Normal"/>
    <w:link w:val="TextedebullesCar"/>
    <w:uiPriority w:val="99"/>
    <w:semiHidden w:val="1"/>
    <w:unhideWhenUsed w:val="1"/>
    <w:rsid w:val="000A52D2"/>
    <w:rPr>
      <w:rFonts w:ascii="Tahoma" w:cs="Times New Roman" w:hAnsi="Tahoma"/>
      <w:sz w:val="14"/>
      <w:lang w:bidi="ar-SA"/>
    </w:rPr>
  </w:style>
  <w:style w:type="character" w:styleId="TextedebullesCar" w:customStyle="1">
    <w:name w:val="Texte de bulles Car"/>
    <w:link w:val="Textedebulles"/>
    <w:uiPriority w:val="99"/>
    <w:semiHidden w:val="1"/>
    <w:locked w:val="1"/>
    <w:rsid w:val="00F14B16"/>
    <w:rPr>
      <w:rFonts w:ascii="Tahoma" w:hAnsi="Tahoma"/>
      <w:sz w:val="14"/>
    </w:rPr>
  </w:style>
  <w:style w:type="paragraph" w:styleId="Notedebasdepage">
    <w:name w:val="footnote text"/>
    <w:basedOn w:val="Normal"/>
    <w:link w:val="NotedebasdepageCar"/>
    <w:uiPriority w:val="99"/>
    <w:unhideWhenUsed w:val="1"/>
    <w:rsid w:val="00FC5E52"/>
    <w:rPr>
      <w:rFonts w:cs="Times New Roman"/>
      <w:sz w:val="18"/>
      <w:lang w:bidi="ar-SA"/>
    </w:rPr>
  </w:style>
  <w:style w:type="character" w:styleId="NotedebasdepageCar" w:customStyle="1">
    <w:name w:val="Note de bas de page Car"/>
    <w:link w:val="Notedebasdepage"/>
    <w:uiPriority w:val="99"/>
    <w:locked w:val="1"/>
    <w:rsid w:val="00F14B16"/>
    <w:rPr>
      <w:rFonts w:ascii="Times New Roman" w:hAnsi="Times New Roman"/>
      <w:sz w:val="18"/>
    </w:rPr>
  </w:style>
  <w:style w:type="character" w:styleId="Appelnotedebasdep">
    <w:name w:val="footnote reference"/>
    <w:uiPriority w:val="99"/>
    <w:semiHidden w:val="1"/>
    <w:unhideWhenUsed w:val="1"/>
    <w:rsid w:val="00F14B16"/>
    <w:rPr>
      <w:vertAlign w:val="superscript"/>
    </w:rPr>
  </w:style>
  <w:style w:type="character" w:styleId="lev">
    <w:name w:val="Strong"/>
    <w:uiPriority w:val="22"/>
    <w:qFormat w:val="1"/>
    <w:rsid w:val="00F14B16"/>
    <w:rPr>
      <w:b w:val="1"/>
    </w:rPr>
  </w:style>
  <w:style w:type="character" w:styleId="Lienhypertexte">
    <w:name w:val="Hyperlink"/>
    <w:uiPriority w:val="99"/>
    <w:unhideWhenUsed w:val="1"/>
    <w:rsid w:val="00F14B16"/>
    <w:rPr>
      <w:color w:val="668899"/>
      <w:u w:val="single"/>
    </w:rPr>
  </w:style>
  <w:style w:type="character" w:styleId="st1" w:customStyle="1">
    <w:name w:val="st1"/>
    <w:rsid w:val="00F14B16"/>
    <w:rPr>
      <w:rFonts w:cs="Times New Roman"/>
    </w:rPr>
  </w:style>
  <w:style w:type="character" w:styleId="tw4winMark" w:customStyle="1">
    <w:name w:val="tw4winMark"/>
    <w:uiPriority w:val="99"/>
    <w:rsid w:val="00F14B16"/>
    <w:rPr>
      <w:rFonts w:ascii="Courier New" w:hAnsi="Courier New"/>
      <w:vanish w:val="1"/>
      <w:color w:val="800080"/>
      <w:vertAlign w:val="subscript"/>
    </w:rPr>
  </w:style>
  <w:style w:type="paragraph" w:styleId="Sansinterligne">
    <w:name w:val="No Spacing"/>
    <w:uiPriority w:val="1"/>
    <w:qFormat w:val="1"/>
    <w:rsid w:val="008750F3"/>
    <w:pPr>
      <w:overflowPunct w:val="0"/>
      <w:autoSpaceDE w:val="0"/>
      <w:autoSpaceDN w:val="0"/>
      <w:adjustRightInd w:val="0"/>
      <w:textAlignment w:val="baseline"/>
    </w:pPr>
    <w:rPr>
      <w:rFonts w:ascii="Times New Roman" w:cs="Mangal" w:hAnsi="Times New Roman"/>
      <w:szCs w:val="18"/>
      <w:lang w:bidi="ne-IN" w:eastAsia="en-US" w:val="nl-BE"/>
    </w:rPr>
  </w:style>
  <w:style w:type="paragraph" w:styleId="Rvision">
    <w:name w:val="Revision"/>
    <w:hidden w:val="1"/>
    <w:uiPriority w:val="99"/>
    <w:semiHidden w:val="1"/>
    <w:rsid w:val="00F07E49"/>
    <w:rPr>
      <w:rFonts w:ascii="Times New Roman" w:cs="Mangal" w:hAnsi="Times New Roman"/>
      <w:szCs w:val="18"/>
      <w:lang w:bidi="ne-IN" w:eastAsia="en-US" w:val="nl-BE"/>
    </w:rPr>
  </w:style>
  <w:style w:type="character" w:styleId="Lienhypertextesuivivisit">
    <w:name w:val="FollowedHyperlink"/>
    <w:basedOn w:val="Policepardfaut"/>
    <w:uiPriority w:val="99"/>
    <w:semiHidden w:val="1"/>
    <w:unhideWhenUsed w:val="1"/>
    <w:rsid w:val="00871671"/>
    <w:rPr>
      <w:color w:val="800080" w:themeColor="followedHyperlink"/>
      <w:u w:val="single"/>
    </w:rPr>
  </w:style>
  <w:style w:type="character" w:styleId="Mentionnonrsolue">
    <w:name w:val="Unresolved Mention"/>
    <w:basedOn w:val="Policepardfaut"/>
    <w:uiPriority w:val="99"/>
    <w:semiHidden w:val="1"/>
    <w:unhideWhenUsed w:val="1"/>
    <w:rsid w:val="00256B4E"/>
    <w:rPr>
      <w:color w:val="605e5c"/>
      <w:shd w:color="auto" w:fill="e1dfdd" w:val="clear"/>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yperlink" Target="http://www.aion.be" TargetMode="External"/><Relationship Id="rId10" Type="http://schemas.openxmlformats.org/officeDocument/2006/relationships/hyperlink" Target="http://www.fondsdegarantie.belgium.be" TargetMode="External"/><Relationship Id="rId13" Type="http://schemas.openxmlformats.org/officeDocument/2006/relationships/hyperlink" Target="https://www.ombudsfin.be/" TargetMode="External"/><Relationship Id="rId12" Type="http://schemas.openxmlformats.org/officeDocument/2006/relationships/hyperlink" Target="http://www.aion.b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hyperlink" Target="http://www.wikifin.be" TargetMode="External"/><Relationship Id="rId17" Type="http://schemas.openxmlformats.org/officeDocument/2006/relationships/header" Target="header2.xml"/><Relationship Id="rId16" Type="http://schemas.openxmlformats.org/officeDocument/2006/relationships/header" Target="header1.xml"/><Relationship Id="rId5" Type="http://schemas.openxmlformats.org/officeDocument/2006/relationships/numbering" Target="numbering.xml"/><Relationship Id="rId19" Type="http://schemas.openxmlformats.org/officeDocument/2006/relationships/footer" Target="footer1.xml"/><Relationship Id="rId6" Type="http://schemas.openxmlformats.org/officeDocument/2006/relationships/styles" Target="styles.xml"/><Relationship Id="rId18" Type="http://schemas.openxmlformats.org/officeDocument/2006/relationships/footer" Target="footer2.xml"/><Relationship Id="rId7" Type="http://schemas.openxmlformats.org/officeDocument/2006/relationships/customXml" Target="../customXML/item1.xml"/><Relationship Id="rId8" Type="http://schemas.openxmlformats.org/officeDocument/2006/relationships/image" Target="media/image1.jp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0Xj8w12r5BII6wQRKtgBZXCJ9og==">CgMxLjA4AHIhMVhlTnpiSzFwaVdSX1BJeGNjS3ZZcHFLczFneklIazhL</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2019-10-08T13:18:00Z</dcterms:created>
  <dc:creator>Ivan Roisin</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0x01010096B10D78A450B444BAE61FDEE383F8480044E0243E4ED140D4BAD5C13474CFEAB000E4B7C84089C6A44BBE9F67E5DAF79ACE</vt:lpwstr>
  </property>
  <property fmtid="{D5CDD505-2E9C-101B-9397-08002B2CF9AE}" pid="4" name="AlsoRelevantFor">
    <vt:lpwstr>1;#AutRelGovernment|75a2fbd0-6e35-4b87-ab33-4a95a9f6feaa</vt:lpwstr>
  </property>
  <property fmtid="{D5CDD505-2E9C-101B-9397-08002B2CF9AE}" pid="5" name="TaxCatchAll">
    <vt:lpwstr>6;#Dutch|80025f18-efbd-4050-828c-3eb1f323b17d;#5;#Final|7d7850c6-150d-4cd3-9e58-5c4a2226475a;#2;#CtlPromotions|10a71036-34b7-4718-82f7-0284686f33c4;#1;#AutRelGovernment|75a2fbd0-6e35-4b87-ab33-4a95a9f6feaa</vt:lpwstr>
  </property>
  <property fmtid="{D5CDD505-2E9C-101B-9397-08002B2CF9AE}" pid="6" name="FSMAKeywords">
    <vt:lpwstr/>
  </property>
  <property fmtid="{D5CDD505-2E9C-101B-9397-08002B2CF9AE}" pid="7" name="_dlc_DocIdItemGuid">
    <vt:lpwstr>79cc1c61-1bda-4ec7-a06a-cd1d45004ab5</vt:lpwstr>
  </property>
  <property fmtid="{D5CDD505-2E9C-101B-9397-08002B2CF9AE}" pid="8" name="FSMALanguage">
    <vt:lpwstr>6;#Dutch|80025f18-efbd-4050-828c-3eb1f323b17d</vt:lpwstr>
  </property>
  <property fmtid="{D5CDD505-2E9C-101B-9397-08002B2CF9AE}" pid="9" name="Importance">
    <vt:lpwstr/>
  </property>
  <property fmtid="{D5CDD505-2E9C-101B-9397-08002B2CF9AE}" pid="10" name="FSMADocumentStatus">
    <vt:lpwstr>5;#Final|7d7850c6-150d-4cd3-9e58-5c4a2226475a</vt:lpwstr>
  </property>
  <property fmtid="{D5CDD505-2E9C-101B-9397-08002B2CF9AE}" pid="11" name="_docset_NoMedatataSyncRequired">
    <vt:lpwstr>False</vt:lpwstr>
  </property>
  <property fmtid="{D5CDD505-2E9C-101B-9397-08002B2CF9AE}" pid="12" name="Dossier">
    <vt:lpwstr/>
  </property>
  <property fmtid="{D5CDD505-2E9C-101B-9397-08002B2CF9AE}" pid="13" name="DossierFr">
    <vt:lpwstr/>
  </property>
  <property fmtid="{D5CDD505-2E9C-101B-9397-08002B2CF9AE}" pid="14" name="DossierOfficialNameFr">
    <vt:lpwstr/>
  </property>
  <property fmtid="{D5CDD505-2E9C-101B-9397-08002B2CF9AE}" pid="15" name="DossierOfficialName">
    <vt:lpwstr/>
  </property>
  <property fmtid="{D5CDD505-2E9C-101B-9397-08002B2CF9AE}" pid="16" name="DossierNl">
    <vt:lpwstr/>
  </property>
  <property fmtid="{D5CDD505-2E9C-101B-9397-08002B2CF9AE}" pid="17" name="DossierOfficialNameNl">
    <vt:lpwstr/>
  </property>
  <property fmtid="{D5CDD505-2E9C-101B-9397-08002B2CF9AE}" pid="18" name="_dlc_DocId">
    <vt:lpwstr>WA675FQF6FRQ-4-37</vt:lpwstr>
  </property>
  <property fmtid="{D5CDD505-2E9C-101B-9397-08002B2CF9AE}" pid="19" name="_dlc_DocIdUrl">
    <vt:lpwstr>http://edossier-cases.fsma.be/cases/6b3913b0-9ad6-4976-8d22-5f866607babb/_layouts/DocIdRedir.aspx?ID=WA675FQF6FRQ-4-37, WA675FQF6FRQ-4-37</vt:lpwstr>
  </property>
  <property fmtid="{D5CDD505-2E9C-101B-9397-08002B2CF9AE}" pid="20" name="DLexId">
    <vt:lpwstr>2510083</vt:lpwstr>
  </property>
</Properties>
</file>